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Статья: Переход на применение электронного документооборота в бухучете</w:t>
              <w:br/>
              <w:t xml:space="preserve">(Зарипова М.)</w:t>
              <w:br/>
              <w:t xml:space="preserve">("Учреждения здравоохранения: бухгалтерский учет и налогообложение", 2022, N 2)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07.11.2022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ind w:firstLine="540"/>
        <w:jc w:val="both"/>
      </w:pPr>
      <w:r>
        <w:rPr>
          <w:sz w:val="22"/>
        </w:rPr>
      </w:r>
    </w:p>
    <w:p>
      <w:pPr>
        <w:pStyle w:val="0"/>
        <w:jc w:val="right"/>
      </w:pPr>
      <w:r>
        <w:rPr>
          <w:sz w:val="22"/>
        </w:rPr>
        <w:t xml:space="preserve">"Учреждения здравоохранения: бухгалтерский учет и налогообложение", 2022, N 2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2"/>
        <w:jc w:val="center"/>
      </w:pPr>
      <w:r>
        <w:rPr>
          <w:sz w:val="20"/>
        </w:rPr>
        <w:t xml:space="preserve">ПЕРЕХОД НА ПРИМЕНЕНИЕ ЭЛЕКТРОННОГО ДОКУМЕНТООБОРОТА</w:t>
      </w:r>
    </w:p>
    <w:p>
      <w:pPr>
        <w:pStyle w:val="2"/>
        <w:jc w:val="center"/>
      </w:pPr>
      <w:r>
        <w:rPr>
          <w:sz w:val="20"/>
        </w:rPr>
        <w:t xml:space="preserve">В БУХУЧЕТЕ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</w:rPr>
        <w:t xml:space="preserve">С 1 января 2022 года начинается переход на применение электронного документооборота при ведении бухгалтерского учета в учреждениях госсектора. Переход на применение унифицированных электронных форм учета направлен на обеспечение совместимости государственных (муниципальных) информационных систем и информационных ресурсов, средствами которых ведется учет, и на информационное взаимодействие. В настоящее время действуют 17 форм электронных первичных документов и 3 формы электронных регистров бухучета (см. </w:t>
      </w:r>
      <w:hyperlink w:history="0" r:id="rId7" w:tooltip="Приказ Минфина России от 15.04.2021 N 61н (ред. от 30.09.2021) &quot;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&quot; (Зарегистрировано в Минюсте России 28.06.2021 N 63995) {КонсультантПлюс}">
        <w:r>
          <w:rPr>
            <w:sz w:val="22"/>
            <w:color w:val="0000ff"/>
          </w:rPr>
          <w:t xml:space="preserve">Приказ</w:t>
        </w:r>
      </w:hyperlink>
      <w:r>
        <w:rPr>
          <w:sz w:val="22"/>
        </w:rPr>
        <w:t xml:space="preserve"> Минфина России от 15.04.2021 N 61н (далее - Приказ N 61н) в редакции Приказа Минфина России от 30.09.2021 N 142н). В целях методической помощи при переходе на электронную "первичку" ведомство выпустило Письмо от 01.12.2021 N 02-07-07/98091, которым доведены Методические </w:t>
      </w:r>
      <w:hyperlink w:history="0" r:id="rId8" w:tooltip="&lt;Письмо&gt; Минфина России от 01.12.2021 N 02-07-07/98091 &quot;О Методических рекомендациях по переходу на применение в 2022 году унифицированных форм электронных первичных документов&quot; {КонсультантПлюс}">
        <w:r>
          <w:rPr>
            <w:sz w:val="22"/>
            <w:color w:val="0000ff"/>
          </w:rPr>
          <w:t xml:space="preserve">рекомендации</w:t>
        </w:r>
      </w:hyperlink>
      <w:r>
        <w:rPr>
          <w:sz w:val="22"/>
        </w:rPr>
        <w:t xml:space="preserve"> по переходу на применение в 2022 году организациями бюджетной сферы унифицированных форм электронных первичных учетных документов (далее - Методические рекомендации). В статье осветим основные положения этого документа.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outlineLvl w:val="0"/>
        <w:jc w:val="center"/>
      </w:pPr>
      <w:r>
        <w:rPr>
          <w:sz w:val="22"/>
        </w:rPr>
        <w:t xml:space="preserve">Сроки перехода на электронный документооборот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</w:rPr>
        <w:t xml:space="preserve">Отметим, что в Методических </w:t>
      </w:r>
      <w:hyperlink w:history="0" r:id="rId9" w:tooltip="&lt;Письмо&gt; Минфина России от 01.12.2021 N 02-07-07/98091 &quot;О Методических рекомендациях по переходу на применение в 2022 году унифицированных форм электронных первичных документов&quot; {КонсультантПлюс}">
        <w:r>
          <w:rPr>
            <w:sz w:val="22"/>
            <w:color w:val="0000ff"/>
          </w:rPr>
          <w:t xml:space="preserve">рекомендациях</w:t>
        </w:r>
      </w:hyperlink>
      <w:r>
        <w:rPr>
          <w:sz w:val="22"/>
        </w:rPr>
        <w:t xml:space="preserve"> указаны две даты, связанные с переходом на применение электронных унифицированных форм первичных учетных документов и регистров учета.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  <w:b w:val="on"/>
        </w:rPr>
        <w:t xml:space="preserve">С 1 января 2022 года</w:t>
      </w:r>
      <w:r>
        <w:rPr>
          <w:sz w:val="22"/>
        </w:rPr>
        <w:t xml:space="preserve"> формы электронных документов применяют уполномоченные организации при осуществлении ими централизуемых полномочий отдельных федеральных органов исполнительной власти, их территориальных органов и подведомственных им федеральных казенных учреждений, переданных в соответствии с </w:t>
      </w:r>
      <w:hyperlink w:history="0" r:id="rId10" w:tooltip="Постановление Правительства РФ от 15.02.2020 N 153 (ред. от 02.12.2021) &quot;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&quot; {КонсультантПлюс}">
        <w:r>
          <w:rPr>
            <w:sz w:val="22"/>
            <w:color w:val="0000ff"/>
          </w:rPr>
          <w:t xml:space="preserve">Постановлением</w:t>
        </w:r>
      </w:hyperlink>
      <w:r>
        <w:rPr>
          <w:sz w:val="22"/>
        </w:rPr>
        <w:t xml:space="preserve"> Правительства РФ от 15.02.2020 N 153 (</w:t>
      </w:r>
      <w:hyperlink w:history="0" r:id="rId11" w:tooltip="&lt;Письмо&gt; Минфина России от 01.12.2021 N 02-07-07/98091 &quot;О Методических рекомендациях по переходу на применение в 2022 году унифицированных форм электронных первичных документов&quot; {КонсультантПлюс}">
        <w:r>
          <w:rPr>
            <w:sz w:val="22"/>
            <w:color w:val="0000ff"/>
          </w:rPr>
          <w:t xml:space="preserve">п. 1 разд. 2</w:t>
        </w:r>
      </w:hyperlink>
      <w:r>
        <w:rPr>
          <w:sz w:val="22"/>
        </w:rPr>
        <w:t xml:space="preserve"> Методических рекомендаций).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  <w:b w:val="on"/>
        </w:rPr>
        <w:t xml:space="preserve">С 1 января 2023 года</w:t>
      </w:r>
      <w:r>
        <w:rPr>
          <w:sz w:val="22"/>
        </w:rPr>
        <w:t xml:space="preserve"> электронные документы при ведении бухгалтерского учета применяют все организации бюджетной сферы, к которым относятся и казенные, бюджетные, автономные учреждения здравоохранения (</w:t>
      </w:r>
      <w:hyperlink w:history="0" r:id="rId12" w:tooltip="&lt;Письмо&gt; Минфина России от 01.12.2021 N 02-07-07/98091 &quot;О Методических рекомендациях по переходу на применение в 2022 году унифицированных форм электронных первичных документов&quot; {КонсультантПлюс}">
        <w:r>
          <w:rPr>
            <w:sz w:val="22"/>
            <w:color w:val="0000ff"/>
          </w:rPr>
          <w:t xml:space="preserve">п. 3 разд. 2</w:t>
        </w:r>
      </w:hyperlink>
      <w:r>
        <w:rPr>
          <w:sz w:val="22"/>
        </w:rPr>
        <w:t xml:space="preserve"> Методических рекомендаций).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Согласно </w:t>
      </w:r>
      <w:hyperlink w:history="0" r:id="rId13" w:tooltip="&lt;Письмо&gt; Минфина России от 01.12.2021 N 02-07-07/98091 &quot;О Методических рекомендациях по переходу на применение в 2022 году унифицированных форм электронных первичных документов&quot; {КонсультантПлюс}">
        <w:r>
          <w:rPr>
            <w:sz w:val="22"/>
            <w:color w:val="0000ff"/>
          </w:rPr>
          <w:t xml:space="preserve">п. 2.2</w:t>
        </w:r>
      </w:hyperlink>
      <w:r>
        <w:rPr>
          <w:sz w:val="22"/>
        </w:rPr>
        <w:t xml:space="preserve"> Методических рекомендаций, </w:t>
      </w:r>
      <w:hyperlink w:history="0" r:id="rId14" w:tooltip="Приказ Минфина России от 15.04.2021 N 61н (ред. от 30.09.2021) &quot;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&quot; (Зарегистрировано в Минюсте России 28.06.2021 N 63995) {КонсультантПлюс}">
        <w:r>
          <w:rPr>
            <w:sz w:val="22"/>
            <w:color w:val="0000ff"/>
          </w:rPr>
          <w:t xml:space="preserve">п. 6</w:t>
        </w:r>
      </w:hyperlink>
      <w:r>
        <w:rPr>
          <w:sz w:val="22"/>
        </w:rPr>
        <w:t xml:space="preserve"> Приказа N 61н в 2022 году учреждения здравоохранения могут использовать унифицированные формы электронных документов, если это: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- установлено их учетной политикой (если учреждение самостоятельно ведет бухгалтерский учет);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- определено единой учетной политикой при централизации учета (если бухгалтерский учет ведет централизованная бухгалтерия) (</w:t>
      </w:r>
      <w:hyperlink w:history="0" r:id="rId15" w:tooltip="Приказ Минфина России от 31.12.2016 N 256н (ред. от 30.06.2020) &quot;Об утверждении федерального стандарта бухгалтерского учета для организаций государственного сектора &quot;Концептуальные основы бухгалтерского учета и отчетности организаций государственного сектора&quot; (Зарегистрировано в Минюсте России 27.04.2017 N 46517) {КонсультантПлюс}">
        <w:r>
          <w:rPr>
            <w:sz w:val="22"/>
            <w:color w:val="0000ff"/>
          </w:rPr>
          <w:t xml:space="preserve">п. 14</w:t>
        </w:r>
      </w:hyperlink>
      <w:r>
        <w:rPr>
          <w:sz w:val="22"/>
        </w:rPr>
        <w:t xml:space="preserve"> СГС "Концептуальные основы" </w:t>
      </w:r>
      <w:hyperlink w:history="0" w:anchor="P17" w:tooltip="&lt;1&gt; Федеральный стандарт бухгалтерского учета для организаций государственного сектора &quot;Концептуальные основы бухгалтерского учета и отчетности организаций государственного сектора&quot;, утв. Приказом Минфина России от 31.12.2016 N 256н.">
        <w:r>
          <w:rPr>
            <w:sz w:val="22"/>
            <w:color w:val="0000ff"/>
          </w:rPr>
          <w:t xml:space="preserve">&lt;1&gt;</w:t>
        </w:r>
      </w:hyperlink>
      <w:r>
        <w:rPr>
          <w:sz w:val="22"/>
        </w:rPr>
        <w:t xml:space="preserve">, </w:t>
      </w:r>
      <w:hyperlink w:history="0" r:id="rId16" w:tooltip="&lt;Письмо&gt; Минфина России от 01.12.2021 N 02-07-07/98091 &quot;О Методических рекомендациях по переходу на применение в 2022 году унифицированных форм электронных первичных документов&quot; {КонсультантПлюс}">
        <w:r>
          <w:rPr>
            <w:sz w:val="22"/>
            <w:color w:val="0000ff"/>
          </w:rPr>
          <w:t xml:space="preserve">п. 2.1</w:t>
        </w:r>
      </w:hyperlink>
      <w:r>
        <w:rPr>
          <w:sz w:val="22"/>
        </w:rPr>
        <w:t xml:space="preserve"> Методических указаний).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--------------------------------</w:t>
      </w:r>
    </w:p>
    <w:bookmarkStart w:id="17" w:name="P17"/>
    <w:bookmarkEnd w:id="17"/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&lt;1&gt; Федеральный </w:t>
      </w:r>
      <w:hyperlink w:history="0" r:id="rId17" w:tooltip="Приказ Минфина России от 31.12.2016 N 256н (ред. от 30.06.2020) &quot;Об утверждении федерального стандарта бухгалтерского учета для организаций государственного сектора &quot;Концептуальные основы бухгалтерского учета и отчетности организаций государственного сектора&quot; (Зарегистрировано в Минюсте России 27.04.2017 N 46517) {КонсультантПлюс}">
        <w:r>
          <w:rPr>
            <w:sz w:val="22"/>
            <w:color w:val="0000ff"/>
          </w:rPr>
          <w:t xml:space="preserve">стандарт</w:t>
        </w:r>
      </w:hyperlink>
      <w:r>
        <w:rPr>
          <w:sz w:val="22"/>
        </w:rPr>
        <w:t xml:space="preserve">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утв. Приказом Минфина России от 31.12.2016 N 256н.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</w:rPr>
        <w:t xml:space="preserve">Исходя из этого положениями учетной политики субъектов учета может быть установлен переход на применение унифицированных форм электронных бухгалтерских документов до 1 января 2023 года по готовности используемых ими информационных систем (ресурсов), обеспечивающих переход на электронный документооборот.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outlineLvl w:val="0"/>
        <w:jc w:val="center"/>
      </w:pPr>
      <w:r>
        <w:rPr>
          <w:sz w:val="22"/>
        </w:rPr>
        <w:t xml:space="preserve">Основные требования к электронным документам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</w:rPr>
        <w:t xml:space="preserve">В соответствии с </w:t>
      </w:r>
      <w:hyperlink w:history="0" r:id="rId18" w:tooltip="Приказ Минфина России от 15.04.2021 N 61н (ред. от 30.09.2021) &quot;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&quot; (Зарегистрировано в Минюсте России 28.06.2021 N 63995) {КонсультантПлюс}">
        <w:r>
          <w:rPr>
            <w:sz w:val="22"/>
            <w:color w:val="0000ff"/>
          </w:rPr>
          <w:t xml:space="preserve">Приказом</w:t>
        </w:r>
      </w:hyperlink>
      <w:r>
        <w:rPr>
          <w:sz w:val="22"/>
        </w:rPr>
        <w:t xml:space="preserve"> N 61н электронные документы составляются: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- в форме электронного документа, подписанного квалифицированной электронной подписью либо в случаях, установленных данным </w:t>
      </w:r>
      <w:hyperlink w:history="0" r:id="rId19" w:tooltip="Приказ Минфина России от 15.04.2021 N 61н (ред. от 30.09.2021) &quot;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&quot; (Зарегистрировано в Минюсте России 28.06.2021 N 63995) {КонсультантПлюс}">
        <w:r>
          <w:rPr>
            <w:sz w:val="22"/>
            <w:color w:val="0000ff"/>
          </w:rPr>
          <w:t xml:space="preserve">Приказом</w:t>
        </w:r>
      </w:hyperlink>
      <w:r>
        <w:rPr>
          <w:sz w:val="22"/>
        </w:rPr>
        <w:t xml:space="preserve">, простой электронной подписью;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- с указанием предусмотренных унифицированными формами электронных документов реквизитов и кодов, соответствующих им согласно общероссийским классификаторам (классификациям) технико-экономической информации при автоматизированной обработке и обмене информации.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В </w:t>
      </w:r>
      <w:hyperlink w:history="0" r:id="rId20" w:tooltip="&lt;Письмо&gt; Минфина России от 01.12.2021 N 02-07-07/98091 &quot;О Методических рекомендациях по переходу на применение в 2022 году унифицированных форм электронных первичных документов&quot; {КонсультантПлюс}">
        <w:r>
          <w:rPr>
            <w:sz w:val="22"/>
            <w:color w:val="0000ff"/>
          </w:rPr>
          <w:t xml:space="preserve">разд. 3</w:t>
        </w:r>
      </w:hyperlink>
      <w:r>
        <w:rPr>
          <w:sz w:val="22"/>
        </w:rPr>
        <w:t xml:space="preserve"> Методических рекомендаций отмечено, что в электронных формах можно изменять размер граф и строк, включать в них дополнительные строки (подразделы), которые предусмотрены унифицированной формой, добавлять вкладные листы. Реквизиты указываются в соответствии с требованиями </w:t>
      </w:r>
      <w:hyperlink w:history="0" r:id="rId21" w:tooltip="Приказ Минфина России от 31.12.2016 N 256н (ред. от 30.06.2020) &quot;Об утверждении федерального стандарта бухгалтерского учета для организаций государственного сектора &quot;Концептуальные основы бухгалтерского учета и отчетности организаций государственного сектора&quot; (Зарегистрировано в Минюсте России 27.04.2017 N 46517) {КонсультантПлюс}">
        <w:r>
          <w:rPr>
            <w:sz w:val="22"/>
            <w:color w:val="0000ff"/>
          </w:rPr>
          <w:t xml:space="preserve">СГС</w:t>
        </w:r>
      </w:hyperlink>
      <w:r>
        <w:rPr>
          <w:sz w:val="22"/>
        </w:rPr>
        <w:t xml:space="preserve"> "Концептуальные основы". При этом для субъектов учета не допускается исключение отдельных реквизитов из унифицированных форм электронных документов.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Электронный первичный учетный документ принимается к учету, если заполнены все реквизиты и имеется квалифицированная электронная подпись руководителя учреждения (уполномоченного им лица). Поля, предназначенные для бухгалтерских записей либо отметок бухгалтерии, лицо, ответственное за формирование электронного документа, не заполняет.</w:t>
      </w:r>
    </w:p>
    <w:p>
      <w:pPr>
        <w:pStyle w:val="0"/>
        <w:spacing w:before="220" w:line-rule="auto"/>
        <w:ind w:firstLine="540"/>
        <w:jc w:val="both"/>
      </w:pPr>
      <w:hyperlink w:history="0" r:id="rId22" w:tooltip="Приказ Минфина России от 15.04.2021 N 61н (ред. от 30.09.2021) &quot;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&quot; (Зарегистрировано в Минюсте России 28.06.2021 N 63995) {КонсультантПлюс}">
        <w:r>
          <w:rPr>
            <w:sz w:val="22"/>
            <w:color w:val="0000ff"/>
          </w:rPr>
          <w:t xml:space="preserve">Приказом</w:t>
        </w:r>
      </w:hyperlink>
      <w:r>
        <w:rPr>
          <w:sz w:val="22"/>
        </w:rPr>
        <w:t xml:space="preserve"> N 61н установлено, что форма электронного документа состоит из трех частей: заголовочной, содержательной, оформляющей. К каждой части существуют требования по заполнению. Приведем некоторые из них.</w:t>
      </w:r>
    </w:p>
    <w:p>
      <w:pPr>
        <w:pStyle w:val="0"/>
        <w:ind w:firstLine="540"/>
        <w:jc w:val="both"/>
      </w:pPr>
      <w:r>
        <w:rPr>
          <w:sz w:val="22"/>
        </w:rPr>
      </w:r>
    </w:p>
    <w:tbl>
      <w:tblPr>
        <w:tblInd w:w="0" w:type="dxa"/>
        <w:tblLayout w:type="fixed"/>
        <w:tblBorders>
          <w:top w:val="single" w:sz="4"/>
          <w:bottom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24"/>
        <w:gridCol w:w="6746"/>
      </w:tblGrid>
      <w:tr>
        <w:tc>
          <w:tcPr>
            <w:tcW w:w="2324" w:type="dxa"/>
            <w:vAlign w:val="center"/>
            <w:tcBorders>
              <w:left w:val="nil"/>
            </w:tcBorders>
          </w:tcPr>
          <w:p>
            <w:pPr>
              <w:pStyle w:val="0"/>
              <w:jc w:val="center"/>
            </w:pPr>
            <w:r>
              <w:rPr>
                <w:sz w:val="22"/>
              </w:rPr>
              <w:t xml:space="preserve">Часть электронного документа</w:t>
            </w:r>
          </w:p>
        </w:tc>
        <w:tc>
          <w:tcPr>
            <w:tcW w:w="6746" w:type="dxa"/>
            <w:vAlign w:val="center"/>
            <w:tcBorders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2"/>
              </w:rPr>
              <w:t xml:space="preserve">Требования к заполнению части электронного документа</w:t>
            </w:r>
          </w:p>
        </w:tc>
      </w:tr>
      <w:tr>
        <w:tc>
          <w:tcPr>
            <w:tcW w:w="2324" w:type="dxa"/>
            <w:tcBorders>
              <w:left w:val="nil"/>
            </w:tcBorders>
          </w:tcPr>
          <w:p>
            <w:pPr>
              <w:pStyle w:val="0"/>
            </w:pPr>
            <w:r>
              <w:rPr>
                <w:sz w:val="22"/>
              </w:rPr>
              <w:t xml:space="preserve">Заголовочная часть</w:t>
            </w:r>
          </w:p>
        </w:tc>
        <w:tc>
          <w:tcPr>
            <w:tcW w:w="6746" w:type="dxa"/>
            <w:vAlign w:val="bottom"/>
            <w:tcBorders>
              <w:right w:val="nil"/>
            </w:tcBorders>
          </w:tcPr>
          <w:p>
            <w:pPr>
              <w:pStyle w:val="0"/>
            </w:pPr>
            <w:r>
              <w:rPr>
                <w:sz w:val="22"/>
              </w:rPr>
              <w:t xml:space="preserve">Эта часть содержит общие для всех форм электронных документов реквизиты. К ним относятся:</w:t>
            </w:r>
          </w:p>
          <w:p>
            <w:pPr>
              <w:pStyle w:val="0"/>
            </w:pPr>
            <w:r>
              <w:rPr>
                <w:sz w:val="22"/>
              </w:rPr>
              <w:t xml:space="preserve">- наименование формы, код формы по </w:t>
            </w:r>
            <w:hyperlink w:history="0" r:id="rId23" w:tooltip="&quot;ОК 011-93. Общероссийский классификатор управленческой документации&quot; (утв. Постановлением Госстандарта России от 30.12.1993 N 299) (ред. от 07.10.2021) ------------ Недействующая редакция {КонсультантПлюс}">
              <w:r>
                <w:rPr>
                  <w:sz w:val="22"/>
                  <w:color w:val="0000ff"/>
                </w:rPr>
                <w:t xml:space="preserve">ОКУД</w:t>
              </w:r>
            </w:hyperlink>
            <w:r>
              <w:rPr>
                <w:sz w:val="22"/>
              </w:rPr>
              <w:t xml:space="preserve">;</w:t>
            </w:r>
          </w:p>
          <w:p>
            <w:pPr>
              <w:pStyle w:val="0"/>
            </w:pPr>
            <w:r>
              <w:rPr>
                <w:sz w:val="22"/>
              </w:rPr>
              <w:t xml:space="preserve">- дата, на которую представлены содержащиеся в электронном документе сведения (дата формирования сведений);</w:t>
            </w:r>
          </w:p>
          <w:p>
            <w:pPr>
              <w:pStyle w:val="0"/>
            </w:pPr>
            <w:r>
              <w:rPr>
                <w:sz w:val="22"/>
              </w:rPr>
              <w:t xml:space="preserve">- информация об учреждении (субъекте учета), составившем документ, с отражением в кодовой зоне его уникального кода;</w:t>
            </w:r>
          </w:p>
          <w:p>
            <w:pPr>
              <w:pStyle w:val="0"/>
            </w:pPr>
            <w:r>
              <w:rPr>
                <w:sz w:val="22"/>
              </w:rPr>
              <w:t xml:space="preserve">- наименование вышестоящей организации, осуществляющей функции и полномочия учредителя;</w:t>
            </w:r>
          </w:p>
          <w:p>
            <w:pPr>
              <w:pStyle w:val="0"/>
            </w:pPr>
            <w:r>
              <w:rPr>
                <w:sz w:val="22"/>
              </w:rPr>
              <w:t xml:space="preserve">- наименование бюджета бюджетной системы РФ;</w:t>
            </w:r>
          </w:p>
          <w:p>
            <w:pPr>
              <w:pStyle w:val="0"/>
            </w:pPr>
            <w:r>
              <w:rPr>
                <w:sz w:val="22"/>
              </w:rPr>
              <w:t xml:space="preserve">- наименование единицы измерения с указанием кода по </w:t>
            </w:r>
            <w:hyperlink w:history="0" r:id="rId24" w:tooltip="&quot;ОК 015-94 (МК 002-97). Общероссийский классификатор единиц измерения&quot; (утв. Постановлением Госстандарта России от 26.12.1994 N 366) (ред. от 07.12.2021) ------------ Недействующая редакция {КонсультантПлюс}">
              <w:r>
                <w:rPr>
                  <w:sz w:val="22"/>
                  <w:color w:val="0000ff"/>
                </w:rPr>
                <w:t xml:space="preserve">ОКЕИ</w:t>
              </w:r>
            </w:hyperlink>
            <w:r>
              <w:rPr>
                <w:sz w:val="22"/>
              </w:rPr>
              <w:t xml:space="preserve">.</w:t>
            </w:r>
          </w:p>
          <w:p>
            <w:pPr>
              <w:pStyle w:val="0"/>
            </w:pPr>
            <w:r>
              <w:rPr>
                <w:sz w:val="22"/>
              </w:rPr>
              <w:t xml:space="preserve">Заголовочная часть формы электронного документа в зависимости от содержания отражаемого факта хозяйственной жизни может также включать дополнительные реквизиты</w:t>
            </w:r>
          </w:p>
        </w:tc>
      </w:tr>
      <w:tr>
        <w:tc>
          <w:tcPr>
            <w:tcW w:w="2324" w:type="dxa"/>
            <w:tcBorders>
              <w:left w:val="nil"/>
            </w:tcBorders>
          </w:tcPr>
          <w:p>
            <w:pPr>
              <w:pStyle w:val="0"/>
            </w:pPr>
            <w:r>
              <w:rPr>
                <w:sz w:val="22"/>
              </w:rPr>
              <w:t xml:space="preserve">Содержательная часть</w:t>
            </w:r>
          </w:p>
        </w:tc>
        <w:tc>
          <w:tcPr>
            <w:tcW w:w="6746" w:type="dxa"/>
            <w:vAlign w:val="bottom"/>
            <w:tcBorders>
              <w:right w:val="nil"/>
            </w:tcBorders>
          </w:tcPr>
          <w:p>
            <w:pPr>
              <w:pStyle w:val="0"/>
            </w:pPr>
            <w:r>
              <w:rPr>
                <w:sz w:val="22"/>
              </w:rPr>
              <w:t xml:space="preserve">Данная часть оформляется в виде таблицы и (или) текста, включающих наименования показателей, а при наличии - коды показателей по соответствующим классификаторам (классификациям) технико-экономической информации, а также содержание операции и соответствующие значения в натуральном и (или) денежном выражении</w:t>
            </w:r>
          </w:p>
        </w:tc>
      </w:tr>
      <w:tr>
        <w:tc>
          <w:tcPr>
            <w:tcW w:w="2324" w:type="dxa"/>
            <w:tcBorders>
              <w:left w:val="nil"/>
            </w:tcBorders>
          </w:tcPr>
          <w:p>
            <w:pPr>
              <w:pStyle w:val="0"/>
            </w:pPr>
            <w:r>
              <w:rPr>
                <w:sz w:val="22"/>
              </w:rPr>
              <w:t xml:space="preserve">Оформляющая часть</w:t>
            </w:r>
          </w:p>
        </w:tc>
        <w:tc>
          <w:tcPr>
            <w:tcW w:w="6746" w:type="dxa"/>
            <w:vAlign w:val="bottom"/>
            <w:tcBorders>
              <w:right w:val="nil"/>
            </w:tcBorders>
          </w:tcPr>
          <w:p>
            <w:pPr>
              <w:pStyle w:val="0"/>
            </w:pPr>
            <w:r>
              <w:rPr>
                <w:sz w:val="22"/>
              </w:rPr>
              <w:t xml:space="preserve">Эта часть содержит электронные подписи (с расшифровкой) должностных лиц. В соответствии с </w:t>
            </w:r>
            <w:hyperlink w:history="0" r:id="rId25" w:tooltip="Приказ Минфина России от 31.12.2016 N 256н (ред. от 30.06.2020) &quot;Об утверждении федерального стандарта бухгалтерского учета для организаций государственного сектора &quot;Концептуальные основы бухгалтерского учета и отчетности организаций государственного сектора&quot; (Зарегистрировано в Минюсте России 27.04.2017 N 46517) {КонсультантПлюс}">
              <w:r>
                <w:rPr>
                  <w:sz w:val="22"/>
                  <w:color w:val="0000ff"/>
                </w:rPr>
                <w:t xml:space="preserve">СГС</w:t>
              </w:r>
            </w:hyperlink>
            <w:r>
              <w:rPr>
                <w:sz w:val="22"/>
              </w:rPr>
              <w:t xml:space="preserve"> "Концептуальные основы" возможны два варианта подписания электронных документов: простой электронной подписью (ЭП) и квалифицированной электронной подписью (ЭЦП).</w:t>
            </w:r>
          </w:p>
          <w:p>
            <w:pPr>
              <w:pStyle w:val="0"/>
            </w:pPr>
            <w:r>
              <w:rPr>
                <w:sz w:val="22"/>
              </w:rPr>
              <w:t xml:space="preserve">Простой ЭП подписывают многие разделы электронного документа составившие его сотрудники. Квалифицированной ЭЦП утвержденный документ подписывает руководитель учреждения (уполномоченное им лицо), а также главный бухгалтер и кассир</w:t>
            </w:r>
          </w:p>
        </w:tc>
      </w:tr>
    </w:tbl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</w:rPr>
        <w:t xml:space="preserve">Обратите внимание! Документы, которые предусматривают наличие нескольких подписей, включая простые ЭП, можно принять к учету только при наличии в них квалифицированной ЭЦП, например руководителя или главного бухгалтера (</w:t>
      </w:r>
      <w:hyperlink w:history="0" r:id="rId26" w:tooltip="&lt;Письмо&gt; Минфина России от 01.12.2021 N 02-07-07/98091 &quot;О Методических рекомендациях по переходу на применение в 2022 году унифицированных форм электронных первичных документов&quot; {КонсультантПлюс}">
        <w:r>
          <w:rPr>
            <w:sz w:val="22"/>
            <w:color w:val="0000ff"/>
          </w:rPr>
          <w:t xml:space="preserve">разд. 3</w:t>
        </w:r>
      </w:hyperlink>
      <w:r>
        <w:rPr>
          <w:sz w:val="22"/>
        </w:rPr>
        <w:t xml:space="preserve"> Методических рекомендаций).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</w:rPr>
        <w:t xml:space="preserve">Дополнительно отметим, что, если при межведомственном обмене информацией в форме электронных документов предусмотрена передача скан-копий первичных учетных документов, содержащих собственноручные подписи (составленных на бумажном носителе), ответственность за соответствие скан-копии подлиннику документа возлагается на лицо, отвечающее за оформление данного документа и передачу такой копии. Скан-копия первичного учетного документа для отражения в учете передается при условии ее подписания квалифицированной ЭЦП должностным лицом, отвечающим за соответствие такой копии подлиннику документа.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outlineLvl w:val="0"/>
        <w:jc w:val="center"/>
      </w:pPr>
      <w:r>
        <w:rPr>
          <w:sz w:val="22"/>
        </w:rPr>
        <w:t xml:space="preserve">Процедура перехода на электронный документооборот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</w:rPr>
        <w:t xml:space="preserve">При переходе на применение электронных документов при ведении бухгалтерского учета необходимо осуществить следующие подготовительные мероприятия (</w:t>
      </w:r>
      <w:hyperlink w:history="0" r:id="rId27" w:tooltip="&lt;Письмо&gt; Минфина России от 01.12.2021 N 02-07-07/98091 &quot;О Методических рекомендациях по переходу на применение в 2022 году унифицированных форм электронных первичных документов&quot; {КонсультантПлюс}">
        <w:r>
          <w:rPr>
            <w:sz w:val="22"/>
            <w:color w:val="0000ff"/>
          </w:rPr>
          <w:t xml:space="preserve">разд. 4</w:t>
        </w:r>
      </w:hyperlink>
      <w:r>
        <w:rPr>
          <w:sz w:val="22"/>
        </w:rPr>
        <w:t xml:space="preserve"> Методических рекомендаций):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1) определить дату перехода на применение электронных документов;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2) внести изменения в учетную политику, а для централизованной бухгалтерии - в единую учетную политику исходя из особенностей порядка формирования, заполнения и подписания электронных документов;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3) определить лиц, ответственных за формирование и подписание электронных документов;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4) определить сроки формирования, подписания, утверждения электронных документов, передачи первичных (сводных) учетных документов для отражения в бухгалтерском учете;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5) внести дополнения с учетом использования электронных документов в график документооборота;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6) обеспечить всех сотрудников, составляющих и подписывающих электронные документы, простой электронной подписью или квалифицированной электронной подписью в соответствии с порядком, определенным </w:t>
      </w:r>
      <w:hyperlink w:history="0" r:id="rId28" w:tooltip="Приказ Минфина России от 15.04.2021 N 61н (ред. от 30.09.2021) &quot;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&quot; (Зарегистрировано в Минюсте России 28.06.2021 N 63995) {КонсультантПлюс}">
        <w:r>
          <w:rPr>
            <w:sz w:val="22"/>
            <w:color w:val="0000ff"/>
          </w:rPr>
          <w:t xml:space="preserve">Приказом</w:t>
        </w:r>
      </w:hyperlink>
      <w:r>
        <w:rPr>
          <w:sz w:val="22"/>
        </w:rPr>
        <w:t xml:space="preserve"> N 61н, а должностных лиц, утверждающих и согласовывающих электронные документы, - квалифицированной электронной подписью;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7) при централизации бухгалтерского учета, предусматривающей взаимодействие уполномоченной организации и субъектов централизованного учета в рамках осуществления централизуемых полномочий, дополнить ролевое расписание новыми позициями и обеспечить доступ к информационной системе бухгалтерского учета должностным лицам - членам комиссии, подписывающим электронные документы простой ЭП, и председателю комиссии, подписывающему электронные документы квалифицированной ЭЦП;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8) привести в соответствие с требованиями </w:t>
      </w:r>
      <w:hyperlink w:history="0" r:id="rId29" w:tooltip="Приказ Минфина России от 15.04.2021 N 61н (ред. от 30.09.2021) &quot;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&quot; (Зарегистрировано в Минюсте России 28.06.2021 N 63995) {КонсультантПлюс}">
        <w:r>
          <w:rPr>
            <w:sz w:val="22"/>
            <w:color w:val="0000ff"/>
          </w:rPr>
          <w:t xml:space="preserve">Приказа</w:t>
        </w:r>
      </w:hyperlink>
      <w:r>
        <w:rPr>
          <w:sz w:val="22"/>
        </w:rPr>
        <w:t xml:space="preserve"> N 61н справочники, используемые при формировании электронных документов в ИС бухгалтерского учета;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9) утвердить (уточнить) порядок списания кредиторской задолженности с забалансового счета 20 "Задолженность, не востребованная кредиторами";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10) уточнить порядок определения лиц, ответственных за имущество учреждения (ответственных лиц).</w:t>
      </w:r>
    </w:p>
    <w:p>
      <w:pPr>
        <w:pStyle w:val="0"/>
        <w:ind w:firstLine="540"/>
        <w:jc w:val="both"/>
      </w:pPr>
      <w:r>
        <w:rPr>
          <w:sz w:val="22"/>
        </w:rPr>
      </w:r>
    </w:p>
    <w:p>
      <w:pPr>
        <w:pStyle w:val="0"/>
        <w:jc w:val="right"/>
      </w:pPr>
      <w:r>
        <w:rPr>
          <w:sz w:val="22"/>
        </w:rPr>
        <w:t xml:space="preserve">М. Зарипова</w:t>
      </w:r>
    </w:p>
    <w:p>
      <w:pPr>
        <w:pStyle w:val="0"/>
        <w:jc w:val="right"/>
      </w:pPr>
      <w:r>
        <w:rPr>
          <w:sz w:val="22"/>
        </w:rPr>
        <w:t xml:space="preserve">Эксперт журнала</w:t>
      </w:r>
    </w:p>
    <w:p>
      <w:pPr>
        <w:pStyle w:val="0"/>
        <w:jc w:val="right"/>
      </w:pPr>
      <w:r>
        <w:rPr>
          <w:sz w:val="22"/>
        </w:rPr>
        <w:t xml:space="preserve">"Учреждения здравоохранения:</w:t>
      </w:r>
    </w:p>
    <w:p>
      <w:pPr>
        <w:pStyle w:val="0"/>
        <w:jc w:val="right"/>
      </w:pPr>
      <w:r>
        <w:rPr>
          <w:sz w:val="22"/>
        </w:rPr>
        <w:t xml:space="preserve">бухгалтерский учет и налогообложение"</w:t>
      </w:r>
    </w:p>
    <w:p>
      <w:pPr>
        <w:pStyle w:val="0"/>
      </w:pPr>
      <w:r>
        <w:rPr>
          <w:sz w:val="22"/>
        </w:rPr>
        <w:t xml:space="preserve">Подписано в печать</w:t>
      </w:r>
    </w:p>
    <w:p>
      <w:pPr>
        <w:pStyle w:val="0"/>
        <w:spacing w:before="220" w:line-rule="auto"/>
      </w:pPr>
      <w:r>
        <w:rPr>
          <w:sz w:val="22"/>
        </w:rPr>
        <w:t xml:space="preserve">26.01.2022</w:t>
      </w:r>
    </w:p>
    <w:p>
      <w:pPr>
        <w:pStyle w:val="0"/>
      </w:pPr>
      <w:r>
        <w:rPr>
          <w:sz w:val="22"/>
        </w:rPr>
      </w:r>
    </w:p>
    <w:p>
      <w:pPr>
        <w:pStyle w:val="0"/>
      </w:pPr>
      <w:r>
        <w:rPr>
          <w:sz w:val="22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Статья: Переход на применение электронного документооборота в бухучете</w:t>
            <w:br/>
            <w:t>(Зарипова М.)</w:t>
            <w:br/>
            <w:t>("Учреждения здравоохранения: бухга...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07.11.2022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03164" TargetMode = "External"/>
	<Relationship Id="rId8" Type="http://schemas.openxmlformats.org/officeDocument/2006/relationships/hyperlink" Target="https://login.consultant.ru/link/?req=doc&amp;base=LAW&amp;n=402277&amp;dst=100009" TargetMode = "External"/>
	<Relationship Id="rId9" Type="http://schemas.openxmlformats.org/officeDocument/2006/relationships/hyperlink" Target="https://login.consultant.ru/link/?req=doc&amp;base=LAW&amp;n=402277&amp;dst=100009" TargetMode = "External"/>
	<Relationship Id="rId10" Type="http://schemas.openxmlformats.org/officeDocument/2006/relationships/hyperlink" Target="https://login.consultant.ru/link/?req=doc&amp;base=LAW&amp;n=402752" TargetMode = "External"/>
	<Relationship Id="rId11" Type="http://schemas.openxmlformats.org/officeDocument/2006/relationships/hyperlink" Target="https://login.consultant.ru/link/?req=doc&amp;base=LAW&amp;n=402277&amp;dst=100033" TargetMode = "External"/>
	<Relationship Id="rId12" Type="http://schemas.openxmlformats.org/officeDocument/2006/relationships/hyperlink" Target="https://login.consultant.ru/link/?req=doc&amp;base=LAW&amp;n=402277&amp;dst=100056" TargetMode = "External"/>
	<Relationship Id="rId13" Type="http://schemas.openxmlformats.org/officeDocument/2006/relationships/hyperlink" Target="https://login.consultant.ru/link/?req=doc&amp;base=LAW&amp;n=402277&amp;dst=100045" TargetMode = "External"/>
	<Relationship Id="rId14" Type="http://schemas.openxmlformats.org/officeDocument/2006/relationships/hyperlink" Target="https://login.consultant.ru/link/?req=doc&amp;base=LAW&amp;n=403164&amp;dst=100012" TargetMode = "External"/>
	<Relationship Id="rId15" Type="http://schemas.openxmlformats.org/officeDocument/2006/relationships/hyperlink" Target="https://login.consultant.ru/link/?req=doc&amp;base=LAW&amp;n=362262&amp;dst=23" TargetMode = "External"/>
	<Relationship Id="rId16" Type="http://schemas.openxmlformats.org/officeDocument/2006/relationships/hyperlink" Target="https://login.consultant.ru/link/?req=doc&amp;base=LAW&amp;n=402277&amp;dst=100035" TargetMode = "External"/>
	<Relationship Id="rId17" Type="http://schemas.openxmlformats.org/officeDocument/2006/relationships/hyperlink" Target="https://login.consultant.ru/link/?req=doc&amp;base=LAW&amp;n=362262&amp;dst=100011" TargetMode = "External"/>
	<Relationship Id="rId18" Type="http://schemas.openxmlformats.org/officeDocument/2006/relationships/hyperlink" Target="https://login.consultant.ru/link/?req=doc&amp;base=LAW&amp;n=403164" TargetMode = "External"/>
	<Relationship Id="rId19" Type="http://schemas.openxmlformats.org/officeDocument/2006/relationships/hyperlink" Target="https://login.consultant.ru/link/?req=doc&amp;base=LAW&amp;n=403164" TargetMode = "External"/>
	<Relationship Id="rId20" Type="http://schemas.openxmlformats.org/officeDocument/2006/relationships/hyperlink" Target="https://login.consultant.ru/link/?req=doc&amp;base=LAW&amp;n=402277&amp;dst=100076" TargetMode = "External"/>
	<Relationship Id="rId21" Type="http://schemas.openxmlformats.org/officeDocument/2006/relationships/hyperlink" Target="https://login.consultant.ru/link/?req=doc&amp;base=LAW&amp;n=362262&amp;dst=100011" TargetMode = "External"/>
	<Relationship Id="rId22" Type="http://schemas.openxmlformats.org/officeDocument/2006/relationships/hyperlink" Target="https://login.consultant.ru/link/?req=doc&amp;base=LAW&amp;n=403164&amp;dst=101772" TargetMode = "External"/>
	<Relationship Id="rId23" Type="http://schemas.openxmlformats.org/officeDocument/2006/relationships/hyperlink" Target="https://login.consultant.ru/link/?req=doc&amp;base=LAW&amp;n=404644" TargetMode = "External"/>
	<Relationship Id="rId24" Type="http://schemas.openxmlformats.org/officeDocument/2006/relationships/hyperlink" Target="https://login.consultant.ru/link/?req=doc&amp;base=LAW&amp;n=409453" TargetMode = "External"/>
	<Relationship Id="rId25" Type="http://schemas.openxmlformats.org/officeDocument/2006/relationships/hyperlink" Target="https://login.consultant.ru/link/?req=doc&amp;base=LAW&amp;n=362262&amp;dst=31" TargetMode = "External"/>
	<Relationship Id="rId26" Type="http://schemas.openxmlformats.org/officeDocument/2006/relationships/hyperlink" Target="https://login.consultant.ru/link/?req=doc&amp;base=LAW&amp;n=402277&amp;dst=100094" TargetMode = "External"/>
	<Relationship Id="rId27" Type="http://schemas.openxmlformats.org/officeDocument/2006/relationships/hyperlink" Target="https://login.consultant.ru/link/?req=doc&amp;base=LAW&amp;n=402277&amp;dst=100103" TargetMode = "External"/>
	<Relationship Id="rId28" Type="http://schemas.openxmlformats.org/officeDocument/2006/relationships/hyperlink" Target="https://login.consultant.ru/link/?req=doc&amp;base=LAW&amp;n=403164" TargetMode = "External"/>
	<Relationship Id="rId29" Type="http://schemas.openxmlformats.org/officeDocument/2006/relationships/hyperlink" Target="https://login.consultant.ru/link/?req=doc&amp;base=LAW&amp;n=40316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4022.00.21</Application>
  <Company>КонсультантПлюс Версия 4022.00.21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Статья: Переход на применение электронного документооборота в бухучете
(Зарипова М.)
("Учреждения здравоохранения: бухгалтерский учет и налогообложение", 2022, N 2)</dc:title>
  <dcterms:created xsi:type="dcterms:W3CDTF">2022-11-07T11:23:58Z</dcterms:created>
</cp:coreProperties>
</file>